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73" w:rsidRDefault="00174D73" w:rsidP="00174D73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GLINT ADVISORY BOARD SPRING 2015 MEETING</w:t>
      </w:r>
    </w:p>
    <w:p w:rsidR="00174D73" w:rsidRPr="00174D73" w:rsidRDefault="00174D73" w:rsidP="00174D73">
      <w:pPr>
        <w:pStyle w:val="ListParagraph"/>
        <w:jc w:val="center"/>
        <w:rPr>
          <w:sz w:val="36"/>
          <w:szCs w:val="36"/>
        </w:rPr>
      </w:pPr>
    </w:p>
    <w:p w:rsidR="00174D73" w:rsidRDefault="00174D73" w:rsidP="00174D73">
      <w:pPr>
        <w:pStyle w:val="ListParagraph"/>
      </w:pPr>
      <w:r>
        <w:t>Agenda</w:t>
      </w:r>
    </w:p>
    <w:p w:rsidR="00174D73" w:rsidRDefault="00174D73" w:rsidP="00174D73">
      <w:pPr>
        <w:pStyle w:val="ListParagraph"/>
        <w:numPr>
          <w:ilvl w:val="1"/>
          <w:numId w:val="1"/>
        </w:numPr>
      </w:pPr>
      <w:r>
        <w:t>Summary of Fall 2014-Spring 2015 Activities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Hire Graduate Assistant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Create and Analyze FRPA Database</w:t>
      </w:r>
    </w:p>
    <w:p w:rsidR="001765E3" w:rsidRPr="001765E3" w:rsidRDefault="001765E3" w:rsidP="001765E3">
      <w:pPr>
        <w:pStyle w:val="ListParagraph"/>
        <w:numPr>
          <w:ilvl w:val="3"/>
          <w:numId w:val="1"/>
        </w:numPr>
        <w:contextualSpacing/>
      </w:pPr>
      <w:r w:rsidRPr="001765E3">
        <w:t>Out of 1518 faculty (tenure-track, instructors, lecturers, professionals) on UCCS campus, 189 indicate that they have participated in "international activities" (12.5%)</w:t>
      </w:r>
    </w:p>
    <w:p w:rsidR="001765E3" w:rsidRPr="001765E3" w:rsidRDefault="001765E3" w:rsidP="001765E3">
      <w:pPr>
        <w:pStyle w:val="ListParagraph"/>
        <w:numPr>
          <w:ilvl w:val="3"/>
          <w:numId w:val="1"/>
        </w:numPr>
        <w:contextualSpacing/>
      </w:pPr>
      <w:r w:rsidRPr="001765E3">
        <w:t xml:space="preserve">146 of </w:t>
      </w:r>
      <w:proofErr w:type="gramStart"/>
      <w:r w:rsidRPr="001765E3">
        <w:t>these faculty</w:t>
      </w:r>
      <w:proofErr w:type="gramEnd"/>
      <w:r w:rsidRPr="001765E3">
        <w:t xml:space="preserve"> are tenure-track professors (77%)</w:t>
      </w:r>
    </w:p>
    <w:p w:rsidR="001765E3" w:rsidRDefault="001765E3" w:rsidP="001765E3">
      <w:pPr>
        <w:pStyle w:val="ListParagraph"/>
        <w:numPr>
          <w:ilvl w:val="3"/>
          <w:numId w:val="1"/>
        </w:numPr>
        <w:contextualSpacing/>
      </w:pPr>
      <w:r w:rsidRPr="001765E3">
        <w:t xml:space="preserve">84 in LAS (58%), 21 in Business (14%), 17 in EAS (12%), 13 in Education (9%), 8 in Nursing (5%), 6 in Public Affairs (4%) </w:t>
      </w:r>
    </w:p>
    <w:p w:rsidR="001765E3" w:rsidRDefault="00C14F4B" w:rsidP="00C14F4B">
      <w:pPr>
        <w:pStyle w:val="ListParagraph"/>
        <w:numPr>
          <w:ilvl w:val="3"/>
          <w:numId w:val="1"/>
        </w:numPr>
        <w:contextualSpacing/>
      </w:pPr>
      <w:r>
        <w:t xml:space="preserve">Top </w:t>
      </w:r>
      <w:r w:rsidR="001765E3">
        <w:t>themes</w:t>
      </w:r>
      <w:r>
        <w:t xml:space="preserve"> (can overlap)</w:t>
      </w:r>
      <w:r w:rsidR="007B40A3">
        <w:t xml:space="preserve">: </w:t>
      </w:r>
      <w:r>
        <w:t>1) Racism/Race Relations (6%); 2) Minorities and Disadvantaged (6%); 3) Area Studies (Arts/Humanities) (6%); 4) Cultural Diversity (6%); 5) Multicultural Education (5%); 6) English as a Second Language (5%); 7) Cultural Identity (5%); 8) Women's Studies (5%); 9) Multicultural Society (5%); 10) Cross-Cultural Studies (5%)</w:t>
      </w:r>
    </w:p>
    <w:p w:rsidR="00C14F4B" w:rsidRPr="001765E3" w:rsidRDefault="00C14F4B" w:rsidP="00C14F4B">
      <w:pPr>
        <w:pStyle w:val="ListParagraph"/>
        <w:numPr>
          <w:ilvl w:val="3"/>
          <w:numId w:val="1"/>
        </w:numPr>
        <w:contextualSpacing/>
      </w:pPr>
      <w:r>
        <w:t>Top Regions: Europe (17%); Americas and Caribbean (14%); Asia (9%);</w:t>
      </w:r>
    </w:p>
    <w:p w:rsidR="00C14F4B" w:rsidRDefault="00C14F4B" w:rsidP="00C14F4B">
      <w:pPr>
        <w:pStyle w:val="ListParagraph"/>
        <w:numPr>
          <w:ilvl w:val="3"/>
          <w:numId w:val="1"/>
        </w:numPr>
        <w:contextualSpacing/>
      </w:pPr>
      <w:r>
        <w:t>Top Countries: UNITED KINGDOM (14%); MEXICO (12%), CHINA (12%); CANADA (11%); SPAIN (7.5%); FRANCE (7.5%); GERMANY (7.5%); AUSTRALIA (7%); AUSTRIA (6%); ITALY (6%); INDIA (6%)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Develop Website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Publicize GLINT through Communique Article/On-Campus Outreach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Recruit Affiliates (as of March, 32 faculty/instructors, all colleges represented)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 xml:space="preserve">Launch Center at </w:t>
      </w:r>
      <w:proofErr w:type="spellStart"/>
      <w:r>
        <w:t>GeoQuiz</w:t>
      </w:r>
      <w:proofErr w:type="spellEnd"/>
      <w:r>
        <w:t xml:space="preserve"> Night (during international education week)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Organize Spring Semester Brown Bag Lecture Series (once per month on Friday, 12-1pm)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Coordinate and Facilitate Inclusiveness Event with Compass Curriculum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Participate in Search Committee for New Director of the Global Engagement Office (formerly Office of International Affairs)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 xml:space="preserve">Outreach to Community: El </w:t>
      </w:r>
      <w:proofErr w:type="spellStart"/>
      <w:r>
        <w:t>Pomar</w:t>
      </w:r>
      <w:proofErr w:type="spellEnd"/>
      <w:r>
        <w:t xml:space="preserve"> Foundation, Asian American Advisory Board; Colorado Geographic Alliance</w:t>
      </w:r>
      <w:r>
        <w:rPr>
          <w:color w:val="1F497D"/>
        </w:rPr>
        <w:t>, Study Colorado Leadership Institute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Attend Grant-Writing Workshops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Develop External Grant Proposals to be submitted in Fall 2015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Fund mini-projects through seed grants</w:t>
      </w:r>
    </w:p>
    <w:p w:rsidR="00174D73" w:rsidRDefault="00C15EF9" w:rsidP="00174D73">
      <w:pPr>
        <w:pStyle w:val="ListParagraph"/>
        <w:numPr>
          <w:ilvl w:val="1"/>
          <w:numId w:val="1"/>
        </w:numPr>
      </w:pPr>
      <w:r>
        <w:t>Approve seed grants</w:t>
      </w:r>
    </w:p>
    <w:p w:rsidR="00174D73" w:rsidRDefault="00174D73" w:rsidP="00174D73">
      <w:pPr>
        <w:pStyle w:val="ListParagraph"/>
        <w:numPr>
          <w:ilvl w:val="1"/>
          <w:numId w:val="1"/>
        </w:numPr>
      </w:pPr>
      <w:r>
        <w:t>Decide Fall 2015-Spring 2016 brown bag series (include a mix of seed grant awardees and other affiliates)</w:t>
      </w:r>
    </w:p>
    <w:p w:rsidR="00174D73" w:rsidRDefault="00174D73" w:rsidP="00174D73">
      <w:pPr>
        <w:pStyle w:val="ListParagraph"/>
        <w:numPr>
          <w:ilvl w:val="1"/>
          <w:numId w:val="1"/>
        </w:numPr>
      </w:pPr>
      <w:r>
        <w:t>Discuss Working Groups, Potential Projects and Collaborations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Shrinking Cities/Sinking Cities Grant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>CU Diversity and Excellence Grant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 xml:space="preserve">External Grant Funding sources: </w:t>
      </w:r>
      <w:r>
        <w:rPr>
          <w:sz w:val="23"/>
          <w:szCs w:val="23"/>
        </w:rPr>
        <w:t>NAFSA, National Geographic, Lincoln Institute, UNESCO, Ford Foundation, Russell Sage Foundation, Social Science Research Center</w:t>
      </w:r>
    </w:p>
    <w:p w:rsidR="00C15EF9" w:rsidRDefault="00C15EF9" w:rsidP="00C15EF9"/>
    <w:p w:rsidR="00174D73" w:rsidRDefault="00C15EF9" w:rsidP="00174D73">
      <w:pPr>
        <w:pStyle w:val="ListParagraph"/>
        <w:numPr>
          <w:ilvl w:val="1"/>
          <w:numId w:val="1"/>
        </w:numPr>
      </w:pPr>
      <w:r>
        <w:t>Other Fall 2015-Spring 2016</w:t>
      </w:r>
      <w:r w:rsidR="00174D73">
        <w:t xml:space="preserve"> Activities</w:t>
      </w:r>
    </w:p>
    <w:p w:rsidR="00174D73" w:rsidRDefault="00174D73" w:rsidP="00174D73">
      <w:pPr>
        <w:pStyle w:val="ListParagraph"/>
        <w:numPr>
          <w:ilvl w:val="2"/>
          <w:numId w:val="1"/>
        </w:numPr>
      </w:pPr>
      <w:r>
        <w:t xml:space="preserve">Coordinate Inclusiveness Event with Compass Curriculum – Either Fall 2015 or Spring 2016 (perhaps </w:t>
      </w:r>
      <w:proofErr w:type="spellStart"/>
      <w:r>
        <w:t>Ifeoma</w:t>
      </w:r>
      <w:proofErr w:type="spellEnd"/>
      <w:r>
        <w:t xml:space="preserve"> </w:t>
      </w:r>
      <w:proofErr w:type="spellStart"/>
      <w:r>
        <w:t>Nwankosee</w:t>
      </w:r>
      <w:proofErr w:type="spellEnd"/>
      <w:r>
        <w:t xml:space="preserve"> see </w:t>
      </w:r>
      <w:hyperlink r:id="rId5" w:history="1">
        <w:r>
          <w:rPr>
            <w:rStyle w:val="Hyperlink"/>
            <w:color w:val="auto"/>
          </w:rPr>
          <w:t>http://www.voicesamerica.org/</w:t>
        </w:r>
      </w:hyperlink>
      <w:r>
        <w:t>)</w:t>
      </w:r>
    </w:p>
    <w:p w:rsidR="00174D73" w:rsidRDefault="00174D73" w:rsidP="00174D73">
      <w:pPr>
        <w:pStyle w:val="ListParagraph"/>
        <w:numPr>
          <w:ilvl w:val="2"/>
          <w:numId w:val="1"/>
        </w:numPr>
        <w:spacing w:after="27"/>
      </w:pPr>
      <w:r>
        <w:t>Global Engagement Office Workshop (curriculum development, international students, study abroad, research abroad)</w:t>
      </w:r>
    </w:p>
    <w:p w:rsidR="00174D73" w:rsidRDefault="00174D73" w:rsidP="00174D73">
      <w:pPr>
        <w:pStyle w:val="ListParagraph"/>
        <w:numPr>
          <w:ilvl w:val="2"/>
          <w:numId w:val="1"/>
        </w:numPr>
        <w:spacing w:after="27"/>
      </w:pPr>
      <w:r>
        <w:t>Kraemer Library Lecture Series/Library Display during International Week – November 2015</w:t>
      </w:r>
    </w:p>
    <w:p w:rsidR="001003E6" w:rsidRDefault="00174D73" w:rsidP="00174D73">
      <w:pPr>
        <w:pStyle w:val="ListParagraph"/>
        <w:numPr>
          <w:ilvl w:val="2"/>
          <w:numId w:val="1"/>
        </w:numPr>
        <w:spacing w:after="27"/>
      </w:pPr>
      <w:r>
        <w:t>Working Paper Series?</w:t>
      </w:r>
    </w:p>
    <w:p w:rsidR="00174D73" w:rsidRDefault="001003E6" w:rsidP="001003E6">
      <w:pPr>
        <w:pStyle w:val="ListParagraph"/>
        <w:numPr>
          <w:ilvl w:val="3"/>
          <w:numId w:val="1"/>
        </w:numPr>
        <w:spacing w:after="27"/>
      </w:pPr>
      <w:r>
        <w:t>Have the grant receives have their research in the edit volume, as well as other faculty working on their research and papers</w:t>
      </w:r>
    </w:p>
    <w:p w:rsidR="00E94A49" w:rsidRDefault="00174D73" w:rsidP="00174D73">
      <w:pPr>
        <w:pStyle w:val="ListParagraph"/>
        <w:numPr>
          <w:ilvl w:val="2"/>
          <w:numId w:val="1"/>
        </w:numPr>
        <w:spacing w:after="27"/>
      </w:pPr>
      <w:r>
        <w:t>Sponsored Conferences (with an edited volume)?</w:t>
      </w:r>
    </w:p>
    <w:p w:rsidR="00174D73" w:rsidRDefault="00E94A49" w:rsidP="00E94A49">
      <w:pPr>
        <w:pStyle w:val="ListParagraph"/>
        <w:numPr>
          <w:ilvl w:val="3"/>
          <w:numId w:val="1"/>
        </w:numPr>
        <w:spacing w:after="27"/>
      </w:pPr>
      <w:r>
        <w:t xml:space="preserve">Conference in the spring with Steve </w:t>
      </w:r>
      <w:proofErr w:type="spellStart"/>
      <w:r>
        <w:t>Recca</w:t>
      </w:r>
      <w:proofErr w:type="spellEnd"/>
      <w:r>
        <w:t>?</w:t>
      </w:r>
    </w:p>
    <w:p w:rsidR="00174D73" w:rsidRDefault="00174D73" w:rsidP="00174D73">
      <w:pPr>
        <w:pStyle w:val="ListParagraph"/>
        <w:numPr>
          <w:ilvl w:val="2"/>
          <w:numId w:val="1"/>
        </w:numPr>
        <w:spacing w:after="27"/>
      </w:pPr>
      <w:r>
        <w:t>Fundraising?</w:t>
      </w:r>
    </w:p>
    <w:p w:rsidR="001E23BD" w:rsidRDefault="00174D73" w:rsidP="00174D73">
      <w:pPr>
        <w:pStyle w:val="ListParagraph"/>
        <w:numPr>
          <w:ilvl w:val="2"/>
          <w:numId w:val="1"/>
        </w:numPr>
        <w:spacing w:after="27"/>
      </w:pPr>
      <w:r>
        <w:t>Community Outreach?</w:t>
      </w:r>
    </w:p>
    <w:p w:rsidR="000D4091" w:rsidRDefault="001E23BD" w:rsidP="001E23BD">
      <w:pPr>
        <w:pStyle w:val="ListParagraph"/>
        <w:numPr>
          <w:ilvl w:val="3"/>
          <w:numId w:val="1"/>
        </w:numPr>
        <w:spacing w:after="27"/>
      </w:pPr>
      <w:r>
        <w:t>Cosponsor events on campus</w:t>
      </w:r>
    </w:p>
    <w:p w:rsidR="000D4091" w:rsidRDefault="000D4091" w:rsidP="00174D73">
      <w:pPr>
        <w:pStyle w:val="ListParagraph"/>
        <w:numPr>
          <w:ilvl w:val="2"/>
          <w:numId w:val="1"/>
        </w:numPr>
        <w:spacing w:after="27"/>
      </w:pPr>
      <w:r>
        <w:t>Events on campus</w:t>
      </w:r>
    </w:p>
    <w:p w:rsidR="000D4091" w:rsidRDefault="000D4091" w:rsidP="000D4091">
      <w:pPr>
        <w:pStyle w:val="ListParagraph"/>
        <w:numPr>
          <w:ilvl w:val="3"/>
          <w:numId w:val="1"/>
        </w:numPr>
        <w:spacing w:after="27"/>
      </w:pPr>
      <w:r>
        <w:t>Quarterly events like an evening happy hour, brunch, or coffee hour. To foster connections with faculty on campus, less formal.</w:t>
      </w:r>
    </w:p>
    <w:p w:rsidR="001E23BD" w:rsidRDefault="000D4091" w:rsidP="000D4091">
      <w:pPr>
        <w:pStyle w:val="ListParagraph"/>
        <w:numPr>
          <w:ilvl w:val="3"/>
          <w:numId w:val="1"/>
        </w:numPr>
        <w:spacing w:after="27"/>
      </w:pPr>
      <w:r>
        <w:t>Alternating times for Brown Bag Series, everyone other month on Friday and Monday</w:t>
      </w:r>
    </w:p>
    <w:p w:rsidR="00356D20" w:rsidRDefault="001E23BD" w:rsidP="000D4091">
      <w:pPr>
        <w:pStyle w:val="ListParagraph"/>
        <w:numPr>
          <w:ilvl w:val="3"/>
          <w:numId w:val="1"/>
        </w:numPr>
        <w:spacing w:after="27"/>
      </w:pPr>
      <w:r>
        <w:t>Speed dating/</w:t>
      </w:r>
      <w:proofErr w:type="spellStart"/>
      <w:r>
        <w:t>pechacucha</w:t>
      </w:r>
      <w:proofErr w:type="spellEnd"/>
    </w:p>
    <w:p w:rsidR="000D4091" w:rsidRDefault="00356D20" w:rsidP="000D4091">
      <w:pPr>
        <w:pStyle w:val="ListParagraph"/>
        <w:numPr>
          <w:ilvl w:val="3"/>
          <w:numId w:val="1"/>
        </w:numPr>
        <w:spacing w:after="27"/>
      </w:pPr>
      <w:r>
        <w:t>Round table</w:t>
      </w:r>
    </w:p>
    <w:p w:rsidR="000D4091" w:rsidRDefault="000D4091" w:rsidP="00174D73">
      <w:pPr>
        <w:pStyle w:val="ListParagraph"/>
        <w:numPr>
          <w:ilvl w:val="2"/>
          <w:numId w:val="1"/>
        </w:numPr>
        <w:spacing w:after="27"/>
      </w:pPr>
      <w:r>
        <w:t>Workshops</w:t>
      </w:r>
    </w:p>
    <w:p w:rsidR="00174D73" w:rsidRDefault="000D4091" w:rsidP="000D4091">
      <w:pPr>
        <w:pStyle w:val="ListParagraph"/>
        <w:numPr>
          <w:ilvl w:val="3"/>
          <w:numId w:val="1"/>
        </w:numPr>
        <w:spacing w:after="27"/>
      </w:pPr>
      <w:r>
        <w:t>A mini grant writing event, so that way we can increase submissions for next years grants</w:t>
      </w:r>
    </w:p>
    <w:p w:rsidR="00D36A88" w:rsidRDefault="00D36A88"/>
    <w:p w:rsidR="0025646A" w:rsidRDefault="00D36A88">
      <w:r>
        <w:t>In the long run, look for themes in faculty research to incorporate into the Center.</w:t>
      </w:r>
    </w:p>
    <w:sectPr w:rsidR="0025646A" w:rsidSect="00471705">
      <w:type w:val="continuous"/>
      <w:pgSz w:w="12240" w:h="15840" w:code="1"/>
      <w:pgMar w:top="1440" w:right="1440" w:bottom="1440" w:left="1440" w:header="2880" w:footer="2880" w:gutter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311"/>
    <w:multiLevelType w:val="hybridMultilevel"/>
    <w:tmpl w:val="65F6E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1F6B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75C4"/>
    <w:multiLevelType w:val="multilevel"/>
    <w:tmpl w:val="7E9A78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7520C"/>
    <w:multiLevelType w:val="hybridMultilevel"/>
    <w:tmpl w:val="949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174D73"/>
    <w:rsid w:val="000170E9"/>
    <w:rsid w:val="000B2A1A"/>
    <w:rsid w:val="000D4091"/>
    <w:rsid w:val="001003E6"/>
    <w:rsid w:val="00174D73"/>
    <w:rsid w:val="001765E3"/>
    <w:rsid w:val="001E23BD"/>
    <w:rsid w:val="0025646A"/>
    <w:rsid w:val="00356D20"/>
    <w:rsid w:val="00471705"/>
    <w:rsid w:val="00572CA8"/>
    <w:rsid w:val="007B40A3"/>
    <w:rsid w:val="00AA2195"/>
    <w:rsid w:val="00C14F4B"/>
    <w:rsid w:val="00C15EF9"/>
    <w:rsid w:val="00D36A88"/>
    <w:rsid w:val="00E94A4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D73"/>
    <w:pPr>
      <w:spacing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D73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oicesamerica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Morken</cp:lastModifiedBy>
  <cp:revision>3</cp:revision>
  <cp:lastPrinted>2015-05-12T14:32:00Z</cp:lastPrinted>
  <dcterms:created xsi:type="dcterms:W3CDTF">2015-05-12T16:23:00Z</dcterms:created>
  <dcterms:modified xsi:type="dcterms:W3CDTF">2015-05-12T16:24:00Z</dcterms:modified>
</cp:coreProperties>
</file>